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74" w:rsidRDefault="00796D74" w:rsidP="00796D74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796D74" w:rsidRPr="00F74B0A" w:rsidRDefault="00796D74" w:rsidP="00796D74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796D74" w:rsidRPr="00726660" w:rsidRDefault="00796D74" w:rsidP="00796D74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796D74" w:rsidRPr="00726660" w:rsidRDefault="00796D74" w:rsidP="00796D74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796D74" w:rsidRDefault="00796D74" w:rsidP="00E45C58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قسم: </w:t>
      </w:r>
      <w:r w:rsidR="00E45C58">
        <w:rPr>
          <w:rFonts w:ascii="Simplified Arabic" w:hAnsi="Simplified Arabic" w:cs="Simplified Arabic" w:hint="cs"/>
          <w:sz w:val="28"/>
          <w:szCs w:val="28"/>
          <w:rtl/>
        </w:rPr>
        <w:t xml:space="preserve">الاعلام الالكتروني </w:t>
      </w:r>
      <w:r w:rsidR="00B87223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796D74" w:rsidRPr="00483E64" w:rsidRDefault="00796D74" w:rsidP="00796D74">
      <w:pPr>
        <w:bidi/>
        <w:rPr>
          <w:rFonts w:ascii="Simplified Arabic" w:hAnsi="Simplified Arabic" w:cs="Simplified Arabic"/>
          <w:sz w:val="6"/>
          <w:szCs w:val="6"/>
          <w:rtl/>
        </w:rPr>
      </w:pPr>
    </w:p>
    <w:p w:rsidR="00796D74" w:rsidRPr="00726660" w:rsidRDefault="00796D74" w:rsidP="00F35F48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F35F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2019/2020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796D74" w:rsidRPr="00726660" w:rsidTr="000072D3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796D74" w:rsidRPr="00726660" w:rsidTr="000072D3">
        <w:trPr>
          <w:trHeight w:val="527"/>
        </w:trPr>
        <w:tc>
          <w:tcPr>
            <w:tcW w:w="2738" w:type="dxa"/>
            <w:shd w:val="clear" w:color="auto" w:fill="auto"/>
          </w:tcPr>
          <w:p w:rsidR="00796D74" w:rsidRPr="00726660" w:rsidRDefault="00796D74" w:rsidP="0089742A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الكودى:  </w:t>
            </w:r>
            <w:r w:rsidR="00D30FA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JOO</w:t>
            </w:r>
            <w:r w:rsidR="0089742A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214</w:t>
            </w:r>
          </w:p>
        </w:tc>
        <w:tc>
          <w:tcPr>
            <w:tcW w:w="3960" w:type="dxa"/>
          </w:tcPr>
          <w:p w:rsidR="00796D74" w:rsidRPr="00726660" w:rsidRDefault="00796D74" w:rsidP="00307279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 w:rsidR="00307279"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  <w:t>Media Topics (2)</w:t>
            </w:r>
          </w:p>
        </w:tc>
        <w:tc>
          <w:tcPr>
            <w:tcW w:w="2595" w:type="dxa"/>
          </w:tcPr>
          <w:p w:rsidR="00796D74" w:rsidRPr="00726660" w:rsidRDefault="00796D74" w:rsidP="0030727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307279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الثالث</w:t>
            </w:r>
          </w:p>
        </w:tc>
      </w:tr>
      <w:tr w:rsidR="00796D74" w:rsidRPr="00726660" w:rsidTr="000072D3">
        <w:trPr>
          <w:trHeight w:val="701"/>
        </w:trPr>
        <w:tc>
          <w:tcPr>
            <w:tcW w:w="2738" w:type="dxa"/>
            <w:shd w:val="clear" w:color="auto" w:fill="auto"/>
          </w:tcPr>
          <w:p w:rsidR="00796D74" w:rsidRPr="00726660" w:rsidRDefault="00796D74" w:rsidP="008D044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التخصص : </w:t>
            </w:r>
            <w:r w:rsidR="008D044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اعلام الكتروني </w:t>
            </w:r>
          </w:p>
        </w:tc>
        <w:tc>
          <w:tcPr>
            <w:tcW w:w="6555" w:type="dxa"/>
            <w:gridSpan w:val="2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50A976" wp14:editId="79821198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6D74" w:rsidRDefault="00796D74" w:rsidP="00796D74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796D74" w:rsidRDefault="00796D74" w:rsidP="00796D74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E9EC7B" wp14:editId="6221F2B0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6D74" w:rsidRDefault="00796D74" w:rsidP="00796D74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796D74" w:rsidRDefault="00796D74" w:rsidP="00796D74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عملى         </w:t>
            </w:r>
          </w:p>
        </w:tc>
      </w:tr>
    </w:tbl>
    <w:p w:rsidR="00796D74" w:rsidRPr="00483E64" w:rsidRDefault="00796D74" w:rsidP="00796D74">
      <w:pPr>
        <w:bidi/>
        <w:rPr>
          <w:rFonts w:ascii="Simplified Arabic" w:hAnsi="Simplified Arabic" w:cs="Simplified Arabic"/>
          <w:sz w:val="22"/>
          <w:szCs w:val="22"/>
          <w:rtl/>
          <w:lang w:bidi="ar-EG"/>
        </w:rPr>
      </w:pPr>
    </w:p>
    <w:tbl>
      <w:tblPr>
        <w:bidiVisual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7657"/>
        <w:gridCol w:w="14"/>
      </w:tblGrid>
      <w:tr w:rsidR="00796D74" w:rsidRPr="00726660" w:rsidTr="00950C00">
        <w:trPr>
          <w:trHeight w:val="2357"/>
        </w:trPr>
        <w:tc>
          <w:tcPr>
            <w:tcW w:w="2008" w:type="dxa"/>
            <w:shd w:val="clear" w:color="auto" w:fill="E6E6E6"/>
          </w:tcPr>
          <w:p w:rsidR="00796D74" w:rsidRPr="00950C00" w:rsidRDefault="00796D74" w:rsidP="00950C00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</w:tc>
        <w:tc>
          <w:tcPr>
            <w:tcW w:w="7669" w:type="dxa"/>
            <w:gridSpan w:val="2"/>
          </w:tcPr>
          <w:p w:rsidR="00796D74" w:rsidRPr="00483E64" w:rsidRDefault="00796D74" w:rsidP="0030727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اكتساب المعرف</w:t>
            </w:r>
            <w:r w:rsidR="007D45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حول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30727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بنظريات الاتصال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950C00" w:rsidRDefault="00796D74" w:rsidP="00F40F8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2- </w:t>
            </w:r>
            <w:r w:rsidR="0030727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التعرف علي</w:t>
            </w:r>
            <w:r w:rsidR="00F40F8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المصطلحات الخاصة بجوانب العملية الصحفية المتعلقة التحرير والإخراج الصحفي</w:t>
            </w:r>
            <w:r w:rsidR="00950C00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4719E5" w:rsidRPr="00726660" w:rsidRDefault="00950C00" w:rsidP="004719E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3- </w:t>
            </w:r>
            <w:r w:rsidR="00E4714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تحديد </w:t>
            </w:r>
            <w:r w:rsidR="00E47149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94125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142DC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726660" w:rsidRDefault="004719E5" w:rsidP="00E4714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="00796D74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</w:t>
            </w:r>
            <w:r w:rsidR="00E4714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ضرورة الإلمام بكيفية التعامل مع النصوص الأجنبية الخاصة بنظريات الاتصال</w:t>
            </w:r>
            <w:r w:rsidR="00142DC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  <w:r w:rsidR="00796D7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796D74" w:rsidRPr="00726660" w:rsidTr="000072D3">
        <w:trPr>
          <w:gridAfter w:val="1"/>
          <w:wAfter w:w="14" w:type="dxa"/>
          <w:trHeight w:val="858"/>
        </w:trPr>
        <w:tc>
          <w:tcPr>
            <w:tcW w:w="9665" w:type="dxa"/>
            <w:gridSpan w:val="2"/>
            <w:shd w:val="clear" w:color="auto" w:fill="E6E6E6"/>
          </w:tcPr>
          <w:p w:rsidR="00796D74" w:rsidRPr="007960E4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3- المستهدف من تدريس المقرر: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</w:tc>
      </w:tr>
      <w:tr w:rsidR="00796D74" w:rsidRPr="00726660" w:rsidTr="000072D3">
        <w:trPr>
          <w:trHeight w:val="2149"/>
        </w:trPr>
        <w:tc>
          <w:tcPr>
            <w:tcW w:w="2008" w:type="dxa"/>
          </w:tcPr>
          <w:p w:rsidR="00796D74" w:rsidRPr="00726660" w:rsidRDefault="00796D74" w:rsidP="000072D3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  <w:gridSpan w:val="2"/>
          </w:tcPr>
          <w:p w:rsidR="0094125F" w:rsidRPr="00483E64" w:rsidRDefault="00796D74" w:rsidP="0094125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يتعرف علي 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بنظريات الاتصال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796D74" w:rsidRPr="00726660" w:rsidRDefault="00796D74" w:rsidP="0094125F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التحرير والإخراج الصحفي.</w:t>
            </w:r>
          </w:p>
          <w:p w:rsidR="00796D74" w:rsidRDefault="00796D74" w:rsidP="00634B4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أ3-</w:t>
            </w:r>
            <w:r w:rsidR="00EB0D41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EB0D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يرصد </w:t>
            </w:r>
            <w:r w:rsidR="0094125F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94125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9412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7960E4" w:rsidRDefault="00115B7D" w:rsidP="008263C3">
            <w:pPr>
              <w:bidi/>
              <w:rPr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أ4- الإلمام بكيفية التعامل مع النصوص الأجنبية الخاصة بنظريات الاتصال.</w:t>
            </w:r>
          </w:p>
        </w:tc>
      </w:tr>
      <w:tr w:rsidR="00796D74" w:rsidRPr="00726660" w:rsidTr="000072D3">
        <w:tc>
          <w:tcPr>
            <w:tcW w:w="2008" w:type="dxa"/>
            <w:tcBorders>
              <w:bottom w:val="single" w:sz="4" w:space="0" w:color="auto"/>
            </w:tcBorders>
          </w:tcPr>
          <w:p w:rsidR="00796D74" w:rsidRPr="00726660" w:rsidRDefault="00796D74" w:rsidP="000072D3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812CD2" w:rsidRDefault="00796D74" w:rsidP="0088735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ب1- يحلل </w:t>
            </w:r>
            <w:r w:rsidR="00812CD2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812CD2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812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6438CB" w:rsidRDefault="00796D74" w:rsidP="006438CB">
            <w:pPr>
              <w:bidi/>
              <w:jc w:val="both"/>
              <w:rPr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ب2- يفسر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الصلة بين </w:t>
            </w:r>
            <w:r w:rsidR="00812CD2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812CD2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812CD2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وكيفية التعامل مع النصوص الأجنبية الخاصة بنظريات الاتصال. </w:t>
            </w:r>
          </w:p>
        </w:tc>
      </w:tr>
      <w:tr w:rsidR="00796D74" w:rsidRPr="00726660" w:rsidTr="000072D3">
        <w:trPr>
          <w:trHeight w:val="1070"/>
        </w:trPr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جـ- المهارات المهنية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6438CB" w:rsidRPr="00483E64" w:rsidRDefault="00796D7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الكشف عن 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المصطلحات الخاصة بجوانب العملية الصحفية المتعلقة بنظريات الاتصال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796D74" w:rsidRPr="00726660" w:rsidRDefault="0020265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ج2- إدراك</w:t>
            </w:r>
            <w:r w:rsidR="006438CB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الآليات</w:t>
            </w:r>
            <w:r w:rsidR="006438C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2008" w:type="dxa"/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6438CB" w:rsidRPr="00483E64" w:rsidRDefault="00796D7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مع زملائه حول </w:t>
            </w:r>
            <w:r w:rsidR="006A2A2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ضرورة 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الإلمام بالمصطلحات الخاصة بجوانب العملية الصحفية المتعلقة بنظريات الاتصال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796D74" w:rsidRDefault="00796D74" w:rsidP="0091252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أن يكتسب الطالب القدرة على </w:t>
            </w:r>
            <w:r w:rsidR="006438C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التعامل مع النصوص الأجنبية الخاصة بنظريات الاتصال.</w:t>
            </w:r>
          </w:p>
          <w:p w:rsidR="007D3314" w:rsidRPr="00726660" w:rsidRDefault="00796D74" w:rsidP="006438C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د3- إدراك </w:t>
            </w:r>
            <w:r w:rsidR="006438CB"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 w:rsidR="006438C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 w:rsidR="007D331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2008" w:type="dxa"/>
            <w:shd w:val="clear" w:color="auto" w:fill="E6E6E6"/>
          </w:tcPr>
          <w:p w:rsidR="00796D74" w:rsidRPr="002A39C3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10407F" w:rsidRPr="00483E64" w:rsidRDefault="0010407F" w:rsidP="0010407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1- المصطلحات الخاصة بجوانب العملية الصحفية المتعلقة بنظريات الاتصال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10407F" w:rsidRDefault="0010407F" w:rsidP="0010407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2- المصطلحات الخاصة بجوانب العملية الصحفية المتعلقة التحرير والإخراج الصحفي.</w:t>
            </w:r>
          </w:p>
          <w:p w:rsidR="0010407F" w:rsidRDefault="0010407F" w:rsidP="0010407F">
            <w:pPr>
              <w:bidi/>
              <w:jc w:val="both"/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3- </w:t>
            </w:r>
            <w:r w:rsidRPr="00E4714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الآليات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الصحفية الخاصة بالإعلام الغربي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796D74" w:rsidRPr="0010407F" w:rsidRDefault="0010407F" w:rsidP="0010407F">
            <w:pPr>
              <w:bidi/>
              <w:rPr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4- الإلمام بكيفية التعامل مع النصوص الأجنبية الخاصة بنظريات الاتصال. </w:t>
            </w:r>
          </w:p>
        </w:tc>
      </w:tr>
    </w:tbl>
    <w:p w:rsidR="00796D74" w:rsidRPr="006119B3" w:rsidRDefault="00796D74" w:rsidP="00796D74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7200"/>
      </w:tblGrid>
      <w:tr w:rsidR="00796D74" w:rsidRPr="00726660" w:rsidTr="000072D3">
        <w:trPr>
          <w:trHeight w:val="1898"/>
        </w:trPr>
        <w:tc>
          <w:tcPr>
            <w:tcW w:w="2423" w:type="dxa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</w:t>
            </w:r>
          </w:p>
          <w:p w:rsidR="00796D74" w:rsidRPr="00726660" w:rsidRDefault="00796D74" w:rsidP="00332020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كشف السياسة التحريرية والتوجهات السياسية لن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ماذج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من </w:t>
            </w:r>
            <w:r w:rsidR="00332020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الصحف العالمية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2423" w:type="dxa"/>
            <w:tcBorders>
              <w:bottom w:val="single" w:sz="4" w:space="0" w:color="auto"/>
            </w:tcBorders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796D74" w:rsidRPr="00726660" w:rsidTr="000072D3">
        <w:tc>
          <w:tcPr>
            <w:tcW w:w="9623" w:type="dxa"/>
            <w:gridSpan w:val="2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796D74" w:rsidRPr="00726660" w:rsidTr="000072D3">
        <w:tc>
          <w:tcPr>
            <w:tcW w:w="2423" w:type="dxa"/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</w:t>
            </w:r>
          </w:p>
          <w:p w:rsidR="00796D74" w:rsidRPr="00726660" w:rsidRDefault="00796D74" w:rsidP="000072D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796D74" w:rsidRPr="00726660" w:rsidRDefault="00796D74" w:rsidP="000072D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796D74" w:rsidRPr="00726660" w:rsidTr="000072D3">
        <w:tc>
          <w:tcPr>
            <w:tcW w:w="2423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التوقيت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796D74" w:rsidRPr="00726660" w:rsidRDefault="00796D74" w:rsidP="000072D3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التكليفات البحثية والتفاعل والمشاركة خلال الفصل الدراسي</w:t>
            </w:r>
          </w:p>
          <w:p w:rsidR="00796D74" w:rsidRPr="00726660" w:rsidRDefault="00796D74" w:rsidP="000072D3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امتحان منتص الفصل في الأسبوع السابع</w:t>
            </w:r>
          </w:p>
          <w:p w:rsidR="00796D74" w:rsidRPr="00726660" w:rsidRDefault="00796D74" w:rsidP="000072D3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796D74" w:rsidRPr="00726660" w:rsidTr="000072D3">
        <w:tc>
          <w:tcPr>
            <w:tcW w:w="2423" w:type="dxa"/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جـ- توزيع الدرجات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20 درجة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796D74" w:rsidRPr="00726660" w:rsidTr="000072D3">
        <w:tc>
          <w:tcPr>
            <w:tcW w:w="9623" w:type="dxa"/>
            <w:gridSpan w:val="2"/>
            <w:shd w:val="clear" w:color="auto" w:fill="E6E6E6"/>
          </w:tcPr>
          <w:p w:rsidR="00796D74" w:rsidRPr="00726660" w:rsidRDefault="00796D74" w:rsidP="000072D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</w:tc>
      </w:tr>
      <w:tr w:rsidR="00796D74" w:rsidRPr="00726660" w:rsidTr="000072D3">
        <w:tc>
          <w:tcPr>
            <w:tcW w:w="2423" w:type="dxa"/>
          </w:tcPr>
          <w:p w:rsidR="00796D74" w:rsidRDefault="00796D74" w:rsidP="000072D3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7200" w:type="dxa"/>
          </w:tcPr>
          <w:p w:rsidR="00796D74" w:rsidRPr="00F7054C" w:rsidRDefault="00796D74" w:rsidP="000072D3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796D74" w:rsidRPr="00726660" w:rsidTr="000072D3">
        <w:tc>
          <w:tcPr>
            <w:tcW w:w="2423" w:type="dxa"/>
          </w:tcPr>
          <w:p w:rsidR="00796D74" w:rsidRPr="00726660" w:rsidRDefault="00796D74" w:rsidP="000072D3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7200" w:type="dxa"/>
          </w:tcPr>
          <w:p w:rsidR="00796D74" w:rsidRPr="00F7054C" w:rsidRDefault="00796D74" w:rsidP="000072D3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796D74" w:rsidRPr="00726660" w:rsidTr="000072D3">
        <w:tc>
          <w:tcPr>
            <w:tcW w:w="2423" w:type="dxa"/>
          </w:tcPr>
          <w:p w:rsidR="00796D74" w:rsidRPr="006D529D" w:rsidRDefault="00796D74" w:rsidP="00A8661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7200" w:type="dxa"/>
          </w:tcPr>
          <w:p w:rsidR="00796D74" w:rsidRPr="00CC41E6" w:rsidRDefault="00A8661D" w:rsidP="00A8661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- </w:t>
            </w:r>
            <w:r w:rsidR="00CC41E6" w:rsidRPr="00CC41E6">
              <w:rPr>
                <w:rFonts w:asciiTheme="majorBidi" w:hAnsiTheme="majorBidi" w:cstheme="majorBidi"/>
              </w:rPr>
              <w:t xml:space="preserve">Eliot, T. S. (1982). The idea of a Christian society and other writings (2nd ed.). London: Faber &amp; Faber. Engels, F. (1968). The condition of the working class in England [1845] (W. O. Henderson &amp; W. H. </w:t>
            </w:r>
            <w:proofErr w:type="spellStart"/>
            <w:r w:rsidR="00CC41E6" w:rsidRPr="00CC41E6">
              <w:rPr>
                <w:rFonts w:asciiTheme="majorBidi" w:hAnsiTheme="majorBidi" w:cstheme="majorBidi"/>
              </w:rPr>
              <w:t>Chaloner</w:t>
            </w:r>
            <w:proofErr w:type="spellEnd"/>
            <w:r w:rsidR="00CC41E6" w:rsidRPr="00CC41E6">
              <w:rPr>
                <w:rFonts w:asciiTheme="majorBidi" w:hAnsiTheme="majorBidi" w:cstheme="majorBidi"/>
              </w:rPr>
              <w:t>, Trans. &amp; Eds.). Stanford, CA: Stanford University Press.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Cohen, B. C. (1963). The press and foreign policy. Princeton, NJ: Princeton University Press. 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  <w:b/>
                <w:bCs/>
                <w:rtl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Bowlby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>, J. (1982). Attachment and loss: Vol. 1. Attachment. New York: Basic Books. (Original work published 1969).</w:t>
            </w:r>
          </w:p>
        </w:tc>
      </w:tr>
      <w:tr w:rsidR="00796D74" w:rsidRPr="00726660" w:rsidTr="000072D3">
        <w:tc>
          <w:tcPr>
            <w:tcW w:w="2423" w:type="dxa"/>
          </w:tcPr>
          <w:p w:rsidR="00796D74" w:rsidRPr="00726660" w:rsidRDefault="00796D74" w:rsidP="00A8661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7200" w:type="dxa"/>
          </w:tcPr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>Abbott, E. (1908). A study of the early history of child labor in America. American Journal of Sociology, 14(1), 15–37.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>McCombs, M. E. (1997). New frontiers in agenda setting: Agendas of attributes and frames. Mass Communication Review, 24, 4–24.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Anderson, D. R., Huston, A. C., Schmitt, K.,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Linebarger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, D. L., &amp; Wright, J. C. (2001). Early childhood television viewing and adolescent behavior: The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recontact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 study. Monographs of the Society for Research in Child Development 66.1, Serial No. 264. Annenberg Public Policy Center (2012). Coding of health and media project (CHAMP), www.YouthMediaRisk.org (accessed September 3, 2012).</w:t>
            </w:r>
          </w:p>
          <w:p w:rsidR="00CC41E6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Bandura, A. (2009). Social cognitive theory of mass communication. In J. Bryant &amp; M. B. Oliver (Eds.), Media effects advances in theory and research (3rd ed., pp. 94–124). New York: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Routledge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>.</w:t>
            </w:r>
          </w:p>
          <w:p w:rsidR="004573E5" w:rsidRPr="00CC41E6" w:rsidRDefault="00A8661D" w:rsidP="00A8661D">
            <w:pPr>
              <w:jc w:val="both"/>
              <w:rPr>
                <w:rFonts w:asciiTheme="majorBidi" w:eastAsiaTheme="minorHAnsi" w:hAnsiTheme="majorBidi" w:cstheme="majorBidi"/>
              </w:rPr>
            </w:pPr>
            <w:r>
              <w:rPr>
                <w:rFonts w:asciiTheme="majorBidi" w:eastAsiaTheme="minorHAnsi" w:hAnsiTheme="majorBidi" w:cstheme="majorBidi"/>
              </w:rPr>
              <w:t xml:space="preserve">- </w:t>
            </w:r>
            <w:r w:rsidR="00CC41E6" w:rsidRPr="00CC41E6">
              <w:rPr>
                <w:rFonts w:asciiTheme="majorBidi" w:eastAsiaTheme="minorHAnsi" w:hAnsiTheme="majorBidi" w:cstheme="majorBidi"/>
              </w:rPr>
              <w:t xml:space="preserve">Feeney, J. A.,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Noller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, P., &amp; Roberts, N. (2000). Attachment and close relationships. In C.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Hendrick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 &amp; S. S. </w:t>
            </w:r>
            <w:proofErr w:type="spellStart"/>
            <w:r w:rsidR="00CC41E6" w:rsidRPr="00CC41E6">
              <w:rPr>
                <w:rFonts w:asciiTheme="majorBidi" w:eastAsiaTheme="minorHAnsi" w:hAnsiTheme="majorBidi" w:cstheme="majorBidi"/>
              </w:rPr>
              <w:t>Hendrick</w:t>
            </w:r>
            <w:proofErr w:type="spellEnd"/>
            <w:r w:rsidR="00CC41E6" w:rsidRPr="00CC41E6">
              <w:rPr>
                <w:rFonts w:asciiTheme="majorBidi" w:eastAsiaTheme="minorHAnsi" w:hAnsiTheme="majorBidi" w:cstheme="majorBidi"/>
              </w:rPr>
              <w:t xml:space="preserve"> (Eds.), Close relationships: A sourcebook (pp. 185–201). Thousand Oaks, CA: Sage.</w:t>
            </w:r>
          </w:p>
        </w:tc>
      </w:tr>
    </w:tbl>
    <w:p w:rsidR="00796D74" w:rsidRDefault="00796D74" w:rsidP="00F35F48">
      <w:pPr>
        <w:bidi/>
      </w:pPr>
      <w:r w:rsidRPr="00582B23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أستاذ المادة : </w:t>
      </w:r>
      <w:r w:rsidR="00F35F48" w:rsidRPr="00582B2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د.</w:t>
      </w:r>
      <w:r w:rsidR="00F35F48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محم</w:t>
      </w:r>
      <w:r w:rsidR="00F35F48"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EG"/>
        </w:rPr>
        <w:t>د</w:t>
      </w:r>
      <w:bookmarkStart w:id="0" w:name="_GoBack"/>
      <w:bookmarkEnd w:id="0"/>
      <w:r w:rsidR="00F35F48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عمارة </w:t>
      </w:r>
      <w:r w:rsidR="007A3AB6" w:rsidRPr="00582B23">
        <w:rPr>
          <w:rFonts w:ascii="Simplified Arabic" w:hAnsi="Simplified Arabic" w:cs="Simplified Arabic"/>
          <w:b/>
          <w:bCs/>
          <w:sz w:val="28"/>
          <w:szCs w:val="28"/>
          <w:lang w:bidi="ar-EG"/>
        </w:rPr>
        <w:t xml:space="preserve"> </w:t>
      </w:r>
      <w:r w:rsidR="007A3AB6" w:rsidRPr="00582B2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</w:t>
      </w:r>
      <w:r w:rsidR="007A3AB6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 </w:t>
      </w:r>
      <w:r w:rsidR="007A3AB6" w:rsidRPr="00582B2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 </w:t>
      </w:r>
      <w:r w:rsidR="007A3AB6">
        <w:rPr>
          <w:rFonts w:ascii="Simplified Arabic" w:hAnsi="Simplified Arabic" w:cs="Simplified Arabic"/>
          <w:b/>
          <w:bCs/>
          <w:sz w:val="28"/>
          <w:szCs w:val="28"/>
          <w:lang w:bidi="ar-EG"/>
        </w:rPr>
        <w:t xml:space="preserve"> </w:t>
      </w:r>
      <w:r w:rsidRPr="00582B23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رئيس مجلس القسم العلمى : </w:t>
      </w:r>
    </w:p>
    <w:p w:rsidR="005065B5" w:rsidRDefault="005065B5">
      <w:pPr>
        <w:rPr>
          <w:rtl/>
        </w:rPr>
      </w:pPr>
    </w:p>
    <w:sectPr w:rsidR="005065B5" w:rsidSect="007E1D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659" w:rsidRDefault="003A4659">
      <w:r>
        <w:separator/>
      </w:r>
    </w:p>
  </w:endnote>
  <w:endnote w:type="continuationSeparator" w:id="0">
    <w:p w:rsidR="003A4659" w:rsidRDefault="003A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659" w:rsidRDefault="003A4659">
      <w:r>
        <w:separator/>
      </w:r>
    </w:p>
  </w:footnote>
  <w:footnote w:type="continuationSeparator" w:id="0">
    <w:p w:rsidR="003A4659" w:rsidRDefault="003A4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444607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C3E79"/>
    <w:multiLevelType w:val="hybridMultilevel"/>
    <w:tmpl w:val="08C0167C"/>
    <w:lvl w:ilvl="0" w:tplc="A2B45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C5BD9"/>
    <w:multiLevelType w:val="hybridMultilevel"/>
    <w:tmpl w:val="A0A45658"/>
    <w:lvl w:ilvl="0" w:tplc="42E00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74"/>
    <w:rsid w:val="0010407F"/>
    <w:rsid w:val="00115B7D"/>
    <w:rsid w:val="00142DC7"/>
    <w:rsid w:val="00202654"/>
    <w:rsid w:val="00242EC4"/>
    <w:rsid w:val="00266073"/>
    <w:rsid w:val="002D44A9"/>
    <w:rsid w:val="00307279"/>
    <w:rsid w:val="00332020"/>
    <w:rsid w:val="00335063"/>
    <w:rsid w:val="003A4659"/>
    <w:rsid w:val="004113A6"/>
    <w:rsid w:val="00414A8F"/>
    <w:rsid w:val="00444607"/>
    <w:rsid w:val="00445146"/>
    <w:rsid w:val="004573E5"/>
    <w:rsid w:val="004719E5"/>
    <w:rsid w:val="004A7C42"/>
    <w:rsid w:val="005065B5"/>
    <w:rsid w:val="00513181"/>
    <w:rsid w:val="00582B23"/>
    <w:rsid w:val="00591022"/>
    <w:rsid w:val="00591369"/>
    <w:rsid w:val="005B5180"/>
    <w:rsid w:val="005C365C"/>
    <w:rsid w:val="005D2C73"/>
    <w:rsid w:val="006119B3"/>
    <w:rsid w:val="00624F83"/>
    <w:rsid w:val="00634B49"/>
    <w:rsid w:val="006438CB"/>
    <w:rsid w:val="006520C5"/>
    <w:rsid w:val="006A2A27"/>
    <w:rsid w:val="007276B9"/>
    <w:rsid w:val="00746424"/>
    <w:rsid w:val="00796D74"/>
    <w:rsid w:val="007A3AB6"/>
    <w:rsid w:val="007D3314"/>
    <w:rsid w:val="007D459F"/>
    <w:rsid w:val="00812CD2"/>
    <w:rsid w:val="008263C3"/>
    <w:rsid w:val="00887356"/>
    <w:rsid w:val="0089742A"/>
    <w:rsid w:val="008D0446"/>
    <w:rsid w:val="00912525"/>
    <w:rsid w:val="0094125F"/>
    <w:rsid w:val="00950C00"/>
    <w:rsid w:val="009C6466"/>
    <w:rsid w:val="009D26B3"/>
    <w:rsid w:val="00A12EC2"/>
    <w:rsid w:val="00A54B8D"/>
    <w:rsid w:val="00A8661D"/>
    <w:rsid w:val="00B87223"/>
    <w:rsid w:val="00BA72C9"/>
    <w:rsid w:val="00C8663B"/>
    <w:rsid w:val="00C93C46"/>
    <w:rsid w:val="00CC41E6"/>
    <w:rsid w:val="00D30FAC"/>
    <w:rsid w:val="00D36998"/>
    <w:rsid w:val="00D37C9B"/>
    <w:rsid w:val="00E45C58"/>
    <w:rsid w:val="00E47149"/>
    <w:rsid w:val="00EB0D41"/>
    <w:rsid w:val="00ED3B39"/>
    <w:rsid w:val="00EF24C5"/>
    <w:rsid w:val="00F01441"/>
    <w:rsid w:val="00F35F48"/>
    <w:rsid w:val="00F4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6D74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796D7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6D7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96D74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796D74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796D74"/>
    <w:rPr>
      <w:sz w:val="20"/>
      <w:szCs w:val="20"/>
    </w:rPr>
  </w:style>
  <w:style w:type="paragraph" w:styleId="a6">
    <w:name w:val="Normal (Web)"/>
    <w:basedOn w:val="a"/>
    <w:uiPriority w:val="99"/>
    <w:unhideWhenUsed/>
    <w:rsid w:val="004573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6D74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796D7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6D7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96D74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796D74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796D74"/>
    <w:rPr>
      <w:sz w:val="20"/>
      <w:szCs w:val="20"/>
    </w:rPr>
  </w:style>
  <w:style w:type="paragraph" w:styleId="a6">
    <w:name w:val="Normal (Web)"/>
    <w:basedOn w:val="a"/>
    <w:uiPriority w:val="99"/>
    <w:unhideWhenUsed/>
    <w:rsid w:val="004573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B9F00-0F6D-478A-B02E-D2659E83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 M.Aseda</dc:creator>
  <cp:lastModifiedBy>qumass1</cp:lastModifiedBy>
  <cp:revision>60</cp:revision>
  <cp:lastPrinted>2018-11-21T09:33:00Z</cp:lastPrinted>
  <dcterms:created xsi:type="dcterms:W3CDTF">2018-04-21T08:49:00Z</dcterms:created>
  <dcterms:modified xsi:type="dcterms:W3CDTF">2019-12-08T09:33:00Z</dcterms:modified>
</cp:coreProperties>
</file>