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1C" w:rsidRPr="00C91FD9" w:rsidRDefault="0009691C" w:rsidP="0009691C">
      <w:pPr>
        <w:jc w:val="center"/>
        <w:rPr>
          <w:b/>
          <w:bCs/>
          <w:sz w:val="28"/>
          <w:szCs w:val="28"/>
          <w:rtl/>
          <w:lang w:bidi="ar-EG"/>
        </w:rPr>
      </w:pPr>
      <w:r w:rsidRPr="00C91FD9"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جامعة / أكاديمية : ...جامعة جنوب </w:t>
      </w:r>
      <w:proofErr w:type="spellStart"/>
      <w:r>
        <w:rPr>
          <w:rFonts w:hint="cs"/>
          <w:sz w:val="28"/>
          <w:szCs w:val="28"/>
          <w:rtl/>
          <w:lang w:bidi="ar-EG"/>
        </w:rPr>
        <w:t>الوادى</w:t>
      </w:r>
      <w:proofErr w:type="spellEnd"/>
      <w:r>
        <w:rPr>
          <w:rFonts w:hint="cs"/>
          <w:sz w:val="28"/>
          <w:szCs w:val="28"/>
          <w:rtl/>
          <w:lang w:bidi="ar-EG"/>
        </w:rPr>
        <w:t>.................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كلية / معهد :   ....الإعلام وتكنولوجيا </w:t>
      </w:r>
      <w:proofErr w:type="spellStart"/>
      <w:r>
        <w:rPr>
          <w:rFonts w:hint="cs"/>
          <w:sz w:val="28"/>
          <w:szCs w:val="28"/>
          <w:rtl/>
          <w:lang w:bidi="ar-EG"/>
        </w:rPr>
        <w:t>الإتصال</w:t>
      </w:r>
      <w:proofErr w:type="spellEnd"/>
      <w:r>
        <w:rPr>
          <w:rFonts w:hint="cs"/>
          <w:sz w:val="28"/>
          <w:szCs w:val="28"/>
          <w:rtl/>
          <w:lang w:bidi="ar-EG"/>
        </w:rPr>
        <w:t>................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قسم :    .........الإذاعة والتليفزيون...........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Pr="008936D5" w:rsidRDefault="0009691C" w:rsidP="0009691C">
      <w:pPr>
        <w:jc w:val="center"/>
        <w:rPr>
          <w:sz w:val="32"/>
          <w:szCs w:val="32"/>
          <w:rtl/>
        </w:rPr>
      </w:pPr>
      <w:r w:rsidRPr="008936D5">
        <w:rPr>
          <w:rFonts w:hint="cs"/>
          <w:b/>
          <w:bCs/>
          <w:sz w:val="32"/>
          <w:szCs w:val="32"/>
          <w:rtl/>
          <w:lang w:bidi="ar-EG"/>
        </w:rPr>
        <w:t>توصيف</w:t>
      </w:r>
      <w:r w:rsidRPr="008936D5">
        <w:rPr>
          <w:rFonts w:hint="cs"/>
          <w:sz w:val="32"/>
          <w:szCs w:val="32"/>
          <w:rtl/>
          <w:lang w:bidi="ar-EG"/>
        </w:rPr>
        <w:t xml:space="preserve"> </w:t>
      </w:r>
      <w:r w:rsidRPr="008936D5"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58372D">
        <w:rPr>
          <w:rFonts w:hint="cs"/>
          <w:b/>
          <w:bCs/>
          <w:sz w:val="32"/>
          <w:szCs w:val="32"/>
          <w:rtl/>
        </w:rPr>
        <w:t>2019/2020</w:t>
      </w:r>
    </w:p>
    <w:p w:rsidR="0009691C" w:rsidRDefault="00ED6E4B" w:rsidP="00ED6E4B">
      <w:pPr>
        <w:jc w:val="center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اعداد وتقديم البرامج الإذاعية والتليفزيونية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096"/>
        <w:gridCol w:w="2952"/>
      </w:tblGrid>
      <w:tr w:rsidR="0009691C" w:rsidRPr="00F761AC" w:rsidTr="00ED757F">
        <w:trPr>
          <w:trHeight w:val="435"/>
        </w:trPr>
        <w:tc>
          <w:tcPr>
            <w:tcW w:w="8856" w:type="dxa"/>
            <w:gridSpan w:val="3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09691C" w:rsidRPr="00F761AC" w:rsidTr="00ED757F">
        <w:trPr>
          <w:trHeight w:val="527"/>
        </w:trPr>
        <w:tc>
          <w:tcPr>
            <w:tcW w:w="28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 : </w:t>
            </w:r>
            <w:proofErr w:type="spellStart"/>
            <w:r w:rsidR="00ED6E4B">
              <w:rPr>
                <w:sz w:val="28"/>
                <w:szCs w:val="28"/>
                <w:lang w:bidi="ar-EG"/>
              </w:rPr>
              <w:t>Tvo</w:t>
            </w:r>
            <w:proofErr w:type="spellEnd"/>
            <w:r w:rsidR="00ED6E4B">
              <w:rPr>
                <w:sz w:val="28"/>
                <w:szCs w:val="28"/>
                <w:lang w:bidi="ar-EG"/>
              </w:rPr>
              <w:t xml:space="preserve">  311</w:t>
            </w:r>
          </w:p>
        </w:tc>
        <w:tc>
          <w:tcPr>
            <w:tcW w:w="3096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: 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اعداد وتقديم البرامج الإذاعية والتليفزيونية</w:t>
            </w:r>
          </w:p>
        </w:tc>
        <w:tc>
          <w:tcPr>
            <w:tcW w:w="2952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ED6E4B">
              <w:rPr>
                <w:rFonts w:hint="cs"/>
                <w:sz w:val="28"/>
                <w:szCs w:val="28"/>
                <w:rtl/>
                <w:lang w:bidi="ar-EG"/>
              </w:rPr>
              <w:t>الخامس</w:t>
            </w:r>
          </w:p>
        </w:tc>
      </w:tr>
      <w:tr w:rsidR="0009691C" w:rsidRPr="00F761AC" w:rsidTr="00ED757F">
        <w:trPr>
          <w:trHeight w:val="701"/>
        </w:trPr>
        <w:tc>
          <w:tcPr>
            <w:tcW w:w="2808" w:type="dxa"/>
            <w:shd w:val="clear" w:color="auto" w:fill="auto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التخصص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اذاعة وتليفزيون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ترم  خامس</w:t>
            </w:r>
          </w:p>
        </w:tc>
        <w:tc>
          <w:tcPr>
            <w:tcW w:w="6048" w:type="dxa"/>
            <w:gridSpan w:val="2"/>
            <w:shd w:val="clear" w:color="auto" w:fill="auto"/>
          </w:tcPr>
          <w:p w:rsidR="0009691C" w:rsidRPr="00F761AC" w:rsidRDefault="00775ACD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07.35pt;margin-top:8.65pt;width:32.4pt;height:20.15pt;z-index:251660288;mso-position-horizontal-relative:text;mso-position-vertical-relative:text">
                  <v:textbox style="mso-next-textbox:#_x0000_s1026">
                    <w:txbxContent>
                      <w:p w:rsidR="0009691C" w:rsidRDefault="0009691C" w:rsidP="0009691C">
                        <w:pPr>
                          <w:jc w:val="right"/>
                          <w:rPr>
                            <w:rtl/>
                            <w:lang w:bidi="ar-EG"/>
                          </w:rPr>
                        </w:pPr>
                        <w:r>
                          <w:rPr>
                            <w:rFonts w:hint="cs"/>
                            <w:rtl/>
                            <w:lang w:bidi="ar-EG"/>
                          </w:rPr>
                          <w:t>س</w:t>
                        </w:r>
                        <w:r>
                          <w:t>2</w:t>
                        </w:r>
                        <w:proofErr w:type="spellStart"/>
                        <w:r>
                          <w:rPr>
                            <w:rFonts w:hint="cs"/>
                            <w:rtl/>
                            <w:lang w:bidi="ar-EG"/>
                          </w:rPr>
                          <w:t>ساعةة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7" type="#_x0000_t202" style="position:absolute;left:0;text-align:left;margin-left:8.35pt;margin-top:6.55pt;width:32.4pt;height:20.1pt;z-index:251661312;mso-position-horizontal-relative:text;mso-position-vertical-relative:text">
                  <v:textbox style="mso-next-textbox:#_x0000_s1027">
                    <w:txbxContent>
                      <w:p w:rsidR="0009691C" w:rsidRDefault="0009691C" w:rsidP="0009691C">
                        <w:pPr>
                          <w:rPr>
                            <w:lang w:bidi="ar-EG"/>
                          </w:rPr>
                        </w:pPr>
                        <w:r>
                          <w:rPr>
                            <w:rFonts w:hint="cs"/>
                            <w:rtl/>
                            <w:lang w:bidi="ar-EG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</w:t>
            </w:r>
            <w:proofErr w:type="spellStart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proofErr w:type="spellStart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09691C" w:rsidRPr="00F761AC" w:rsidTr="00ED757F">
        <w:tc>
          <w:tcPr>
            <w:tcW w:w="2808" w:type="dxa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2- هدف المقرر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تعريف الطلاب كيفية اعداد حديث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اذاعى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وتليفزيوني جيد حول موضوع يختاره الطالب تحت إشراف أستاذ المادة0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3- المستهدف من تدريس المقرر: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نهاية الفصل الدراسي يكون الطالب على علم ومهارة  إعداد حديث  وإدارة حوار مع ضيوف برنامج مقترح  حول قضية معينة  وعلى معرفة بالشروط الواجب توافرها مع المذيع الناجح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والمهارات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يجب ان يتحلى بها0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المعلومات والمفاهيم: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مفهوم المذيع </w:t>
            </w:r>
            <w:r>
              <w:rPr>
                <w:rFonts w:cs="Times New Roman"/>
                <w:sz w:val="28"/>
                <w:szCs w:val="28"/>
                <w:rtl/>
                <w:lang w:bidi="ar-EG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المهارات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يجب ان يتمتع بها  - الفرق بين المذيعين  وكيفية إعداد البرامج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09691C" w:rsidRPr="00F761AC" w:rsidTr="00ED757F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6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المهارات الذهنية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المناقشات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وعصف الذهن  لقياس معرفة الطلاب قبل المحاضرة وبعدها</w:t>
            </w:r>
          </w:p>
        </w:tc>
      </w:tr>
      <w:tr w:rsidR="0009691C" w:rsidRPr="00F761AC" w:rsidTr="00ED757F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جـ- المهارات المهنية الخاصة بالمقرر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إلقاء المحاضرة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ساعتين  ثم تدريب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علمى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الاستديو على إدارة حوار حول موضوع يختاره الطالب ثم ينفذه الطلاب لمعرفة الأخطاء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حدثت إثناء اللقاء 000 ثم يقوم الطالب بمشاهدة نفسه  وينقد نفسه مع شرح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مايجب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ان يكون مع أستاذ المادة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هذا الموقف0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المهارات العامة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يقوم طالب بدور المذيع وأخر بدور الضيف ويقوم الطلاب المشاهدين والناقدين ويعلق أستاذ المادة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4- محتوى المقرر: 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1-مفهوم المذيع</w:t>
            </w: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2-مفهوم المعد</w:t>
            </w: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3-الصفات العامة للمذيع</w:t>
            </w: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4- الصفات العامة للمذيع النوعي</w:t>
            </w: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5- المهارات العامة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يجب أن يتحلى بها المذيع العام وقارئ النشرة والمذيع النوعي</w:t>
            </w: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6- كفاءة المذيع(الكفاءة الأدائية </w:t>
            </w:r>
            <w:r>
              <w:rPr>
                <w:rFonts w:cs="Times New Roman"/>
                <w:sz w:val="28"/>
                <w:szCs w:val="28"/>
                <w:rtl/>
                <w:lang w:bidi="ar-EG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الكفاءة المهنية-الكفاءة الشخصية والاجتماعية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7-الاداء المهارى للمذيع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09691C" w:rsidRPr="00F761AC" w:rsidTr="00ED757F">
        <w:tc>
          <w:tcPr>
            <w:tcW w:w="2448" w:type="dxa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الكتاب المقرر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استخدام الاستديو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6- أساليب التعليم والتعلم للطلاب ذوى القدرات المحدودة</w:t>
            </w: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 xml:space="preserve">7- تقويم الطـــلاب :  </w:t>
            </w:r>
          </w:p>
          <w:p w:rsidR="0009691C" w:rsidRPr="00F761AC" w:rsidRDefault="0009691C" w:rsidP="00ED757F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20 درجة ميدتيرم+60درجه امتحان نهاية الفصل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الدراسى</w:t>
            </w:r>
            <w:proofErr w:type="spellEnd"/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10درجات المواظبة والحضور +10 درجات للتكليفات المختلفة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  <w:p w:rsidR="0009691C" w:rsidRPr="00F761AC" w:rsidRDefault="0009691C" w:rsidP="00ED757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09691C" w:rsidRPr="00F761AC" w:rsidRDefault="0009691C" w:rsidP="00ED757F">
            <w:pPr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مذكرة 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الكتب الخاصة بالكلية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كتب ملزمة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الاداء والتقويم     ملزم</w:t>
            </w: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جـ- كتب مقترحة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التوجه للمكتبة   وقراءة ما يتصل بالموضوع</w:t>
            </w: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د- دوريات علمية أو نشرات ... الخ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09691C" w:rsidRDefault="0058372D" w:rsidP="0058372D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:د/ محمد عمارة </w:t>
      </w:r>
      <w:r w:rsidR="0009691C">
        <w:rPr>
          <w:rFonts w:hint="cs"/>
          <w:sz w:val="28"/>
          <w:szCs w:val="28"/>
          <w:rtl/>
          <w:lang w:bidi="ar-EG"/>
        </w:rPr>
        <w:t xml:space="preserve">           </w:t>
      </w:r>
      <w:r>
        <w:rPr>
          <w:rFonts w:hint="cs"/>
          <w:sz w:val="28"/>
          <w:szCs w:val="28"/>
          <w:rtl/>
          <w:lang w:bidi="ar-EG"/>
        </w:rPr>
        <w:t xml:space="preserve">      رئيس مجلس القسم </w:t>
      </w:r>
      <w:proofErr w:type="spellStart"/>
      <w:r>
        <w:rPr>
          <w:rFonts w:hint="cs"/>
          <w:sz w:val="28"/>
          <w:szCs w:val="28"/>
          <w:rtl/>
          <w:lang w:bidi="ar-EG"/>
        </w:rPr>
        <w:t>العلمى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: </w:t>
      </w:r>
      <w:bookmarkStart w:id="0" w:name="_GoBack"/>
      <w:bookmarkEnd w:id="0"/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Pr="00645C94" w:rsidRDefault="0009691C" w:rsidP="0009691C">
      <w:pPr>
        <w:rPr>
          <w:sz w:val="28"/>
          <w:szCs w:val="28"/>
          <w:rtl/>
          <w:lang w:bidi="ar-EG"/>
        </w:rPr>
      </w:pPr>
    </w:p>
    <w:p w:rsidR="00810F17" w:rsidRDefault="00810F17">
      <w:pPr>
        <w:rPr>
          <w:lang w:bidi="ar-EG"/>
        </w:rPr>
      </w:pPr>
    </w:p>
    <w:sectPr w:rsidR="00810F17" w:rsidSect="004E77E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ACD" w:rsidRDefault="00775ACD" w:rsidP="004E77E6">
      <w:pPr>
        <w:spacing w:after="0" w:line="240" w:lineRule="auto"/>
      </w:pPr>
      <w:r>
        <w:separator/>
      </w:r>
    </w:p>
  </w:endnote>
  <w:endnote w:type="continuationSeparator" w:id="0">
    <w:p w:rsidR="00775ACD" w:rsidRDefault="00775ACD" w:rsidP="004E7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ACD" w:rsidRDefault="00775ACD" w:rsidP="004E77E6">
      <w:pPr>
        <w:spacing w:after="0" w:line="240" w:lineRule="auto"/>
      </w:pPr>
      <w:r>
        <w:separator/>
      </w:r>
    </w:p>
  </w:footnote>
  <w:footnote w:type="continuationSeparator" w:id="0">
    <w:p w:rsidR="00775ACD" w:rsidRDefault="00775ACD" w:rsidP="004E7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810F17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91C"/>
    <w:rsid w:val="0009691C"/>
    <w:rsid w:val="00117EA5"/>
    <w:rsid w:val="004E77E6"/>
    <w:rsid w:val="0058372D"/>
    <w:rsid w:val="00775ACD"/>
    <w:rsid w:val="00810F17"/>
    <w:rsid w:val="00ED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rsid w:val="0009691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969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96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qumass1</cp:lastModifiedBy>
  <cp:revision>5</cp:revision>
  <dcterms:created xsi:type="dcterms:W3CDTF">2017-11-05T12:27:00Z</dcterms:created>
  <dcterms:modified xsi:type="dcterms:W3CDTF">2019-12-08T09:10:00Z</dcterms:modified>
</cp:coreProperties>
</file>